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209.05: Administration in the Absence of Policy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Revised: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Last Reviewed: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03/20/2024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When there is no Tri-County board policy in existence to provide guidance on a matter, the superintendent is authorized to act appropriately under the circumstances surrounding the situation keeping in mind the educational philosophy and financial condition of the school district.</w:t>
        <w:br w:type="textWrapping"/>
        <w:br w:type="textWrapping"/>
        <w:t xml:space="preserve">It is the responsibility of the superintendent to inform the board of the situation and the action taken and to document the action taken.  If needed, the superintendent will draft a proposed policy for the board to consider.</w:t>
        <w:br w:type="textWrapping"/>
        <w:br w:type="textWrapping"/>
        <w:br w:type="textWrapping"/>
        <w:br w:type="textWrapping"/>
        <w:br w:type="textWrapping"/>
        <w:t xml:space="preserve">  </w:t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§ 279.8.</w:t>
              <w:br w:type="textWrapping"/>
              <w:t xml:space="preserve">281 I.A.C. 12.3(2).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General Rules - Bonds of Employees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I.A.C. Iowa Administrative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281 I.A.C. 12.3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Administration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9f9f9" w:val="clear"/>
        <w:spacing w:line="480" w:lineRule="auto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Cross References</w:t>
      </w:r>
    </w:p>
    <w:tbl>
      <w:tblPr>
        <w:tblStyle w:val="Table4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Responsibilities of the Board of Directors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302.04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hyperlink r:id="rId10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Superintendent Duties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imbli.eboardsolutions.com/Policy/ViewPolicy.aspx?S=36031104&amp;revid=Grisfb2vgR9HslshpH2msOjaA==" TargetMode="External"/><Relationship Id="rId9" Type="http://schemas.openxmlformats.org/officeDocument/2006/relationships/hyperlink" Target="https://simbli.eboardsolutions.com/Policy/ViewPolicy.aspx?S=36031104&amp;revid=lXF5VOxJCDeGamoSnmRB2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9.8.pdf" TargetMode="External"/><Relationship Id="rId8" Type="http://schemas.openxmlformats.org/officeDocument/2006/relationships/hyperlink" Target="https://www.legis.iowa.gov/docs/iac/rule/281.12.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S60LlkBMOFnXWXVNYmINvsp3g==">CgMxLjAyCGguZ2pkZ3hzOAByITFrWVVMN0FxbHZIbW1BRy1sTTlZWmdmdDhKRE1lcVNyTQ==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2024-02-14T19:59:00Z</dcterms:created>
  <dc:creator>Linda Heisdorffer</dc:creator>
</cp:coreProperties>
</file>